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0A6D" w14:textId="614DD5D6" w:rsidR="00E83A94" w:rsidRDefault="004C7D22" w:rsidP="00F136D5">
      <w:pPr>
        <w:pStyle w:val="BodyText"/>
        <w:spacing w:before="8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anchor distT="0" distB="0" distL="0" distR="0" simplePos="0" relativeHeight="251659264" behindDoc="1" locked="0" layoutInCell="1" allowOverlap="1" wp14:anchorId="4A484356" wp14:editId="0211598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788" cy="10686553"/>
            <wp:effectExtent l="0" t="0" r="0" b="635"/>
            <wp:wrapNone/>
            <wp:docPr id="1" name="image1.jpeg" descr="A sunse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2CB87" w14:textId="3A0EB54B" w:rsidR="00F136D5" w:rsidRDefault="00F136D5" w:rsidP="00F136D5">
      <w:pPr>
        <w:pStyle w:val="BodyText"/>
        <w:spacing w:before="8"/>
        <w:rPr>
          <w:rFonts w:ascii="Times New Roman"/>
          <w:sz w:val="27"/>
        </w:rPr>
      </w:pPr>
    </w:p>
    <w:p w14:paraId="6B247F10" w14:textId="6CA5B911" w:rsidR="00F136D5" w:rsidRPr="007A63CF" w:rsidRDefault="00F136D5" w:rsidP="007A63CF">
      <w:pPr>
        <w:spacing w:before="88" w:line="273" w:lineRule="auto"/>
        <w:ind w:left="695" w:right="1320" w:firstLine="278"/>
        <w:jc w:val="center"/>
        <w:rPr>
          <w:sz w:val="24"/>
          <w:szCs w:val="16"/>
        </w:rPr>
      </w:pPr>
      <w:r w:rsidRPr="00427C12">
        <w:rPr>
          <w:color w:val="FFFFFF"/>
          <w:sz w:val="40"/>
          <w:szCs w:val="24"/>
        </w:rPr>
        <w:t>20</w:t>
      </w:r>
      <w:r w:rsidR="001D0E44" w:rsidRPr="00427C12">
        <w:rPr>
          <w:color w:val="FFFFFF"/>
          <w:sz w:val="40"/>
          <w:szCs w:val="24"/>
        </w:rPr>
        <w:t>2</w:t>
      </w:r>
      <w:r w:rsidR="00513670">
        <w:rPr>
          <w:color w:val="FFFFFF"/>
          <w:sz w:val="40"/>
          <w:szCs w:val="24"/>
        </w:rPr>
        <w:t>2</w:t>
      </w:r>
      <w:r w:rsidRPr="00427C12">
        <w:rPr>
          <w:color w:val="FFFFFF"/>
          <w:sz w:val="40"/>
          <w:szCs w:val="24"/>
        </w:rPr>
        <w:t xml:space="preserve"> Kate Mullin </w:t>
      </w:r>
      <w:r w:rsidR="00427C12">
        <w:rPr>
          <w:color w:val="FFFFFF"/>
          <w:sz w:val="40"/>
          <w:szCs w:val="24"/>
        </w:rPr>
        <w:t xml:space="preserve">Educator </w:t>
      </w:r>
      <w:r w:rsidRPr="00427C12">
        <w:rPr>
          <w:color w:val="FFFFFF"/>
          <w:sz w:val="40"/>
          <w:szCs w:val="24"/>
        </w:rPr>
        <w:t>Award</w:t>
      </w:r>
      <w:r w:rsidR="00427C12">
        <w:rPr>
          <w:color w:val="FFFFFF"/>
          <w:sz w:val="36"/>
        </w:rPr>
        <w:br/>
      </w:r>
      <w:r w:rsidRPr="00427C12">
        <w:rPr>
          <w:color w:val="FFFFFF"/>
          <w:sz w:val="24"/>
          <w:szCs w:val="16"/>
        </w:rPr>
        <w:t xml:space="preserve">for excellence in improving </w:t>
      </w:r>
      <w:r w:rsidRPr="00427C12">
        <w:rPr>
          <w:b/>
          <w:bCs/>
          <w:color w:val="FFFFFF"/>
          <w:sz w:val="24"/>
          <w:szCs w:val="16"/>
        </w:rPr>
        <w:t>language and literacy</w:t>
      </w:r>
      <w:r w:rsidRPr="00427C12">
        <w:rPr>
          <w:color w:val="FFFFFF"/>
          <w:sz w:val="24"/>
          <w:szCs w:val="16"/>
        </w:rPr>
        <w:t xml:space="preserve"> for Aboriginal EAL/D students</w:t>
      </w:r>
      <w:r w:rsidRPr="00427C12">
        <w:rPr>
          <w:b/>
          <w:color w:val="993300"/>
          <w:sz w:val="24"/>
          <w:szCs w:val="24"/>
        </w:rPr>
        <w:t>Open to all Aboriginal and non-Aboriginal educators</w:t>
      </w:r>
      <w:r w:rsidRPr="00427C12">
        <w:rPr>
          <w:b/>
          <w:color w:val="993300"/>
          <w:position w:val="17"/>
          <w:sz w:val="18"/>
          <w:szCs w:val="20"/>
        </w:rPr>
        <w:t>1</w:t>
      </w:r>
    </w:p>
    <w:p w14:paraId="722B8A70" w14:textId="38F0A762" w:rsidR="00F136D5" w:rsidRDefault="00F136D5" w:rsidP="00177683">
      <w:pPr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i/>
          <w:color w:val="000000" w:themeColor="text1"/>
          <w:sz w:val="20"/>
          <w:szCs w:val="20"/>
        </w:rPr>
        <w:br/>
      </w:r>
      <w:r w:rsidRPr="00AF78FA">
        <w:rPr>
          <w:rFonts w:eastAsiaTheme="minorHAnsi"/>
          <w:b/>
          <w:i/>
          <w:color w:val="000000" w:themeColor="text1"/>
          <w:sz w:val="20"/>
          <w:szCs w:val="20"/>
        </w:rPr>
        <w:t>Are you (or do you know) an Australian educator who has helped to improve English language and literacy outcomes for Aboriginal students, while maintaining links to Aboriginal culture and identity?</w:t>
      </w:r>
      <w:r>
        <w:rPr>
          <w:rFonts w:eastAsiaTheme="minorHAnsi"/>
          <w:i/>
          <w:color w:val="000000" w:themeColor="text1"/>
          <w:sz w:val="20"/>
          <w:szCs w:val="20"/>
        </w:rPr>
        <w:br/>
      </w:r>
      <w:r>
        <w:rPr>
          <w:rFonts w:eastAsiaTheme="minorHAnsi"/>
          <w:color w:val="000000" w:themeColor="text1"/>
        </w:rPr>
        <w:br/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The Kate Mullin Award has been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created in memory of Kate Mullin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>, a passionate and visionary E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>ALD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 xml:space="preserve"> consultant who made significant improvements in</w:t>
      </w:r>
      <w:r w:rsidR="000F59E7">
        <w:rPr>
          <w:rFonts w:eastAsiaTheme="minorHAnsi"/>
          <w:b/>
          <w:color w:val="000000" w:themeColor="text1"/>
          <w:sz w:val="20"/>
          <w:szCs w:val="20"/>
        </w:rPr>
        <w:t xml:space="preserve"> the teaching of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>I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>ndigenous literacy in Western Australia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 xml:space="preserve">. 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This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award aims to recognise and celebrate educators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who demonstrate excellence in the teaching of</w:t>
      </w:r>
      <w:r w:rsidR="001D0E44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English to Aboriginal students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 xml:space="preserve">, </w:t>
      </w:r>
      <w:r w:rsidRPr="00F1071E">
        <w:rPr>
          <w:rFonts w:eastAsiaTheme="minorHAnsi"/>
          <w:color w:val="000000" w:themeColor="text1"/>
          <w:sz w:val="20"/>
          <w:szCs w:val="20"/>
        </w:rPr>
        <w:t>whose first language may be Aboriginal English, an Aboriginal Language or a creole such as the Kimberley Kriol.</w:t>
      </w:r>
      <w:r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817EF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9B2537">
        <w:rPr>
          <w:rFonts w:eastAsiaTheme="minorHAnsi"/>
          <w:b/>
          <w:color w:val="000000" w:themeColor="text1"/>
          <w:sz w:val="20"/>
          <w:szCs w:val="20"/>
        </w:rPr>
        <w:t>The educator can self-nominate or be nominated by a line-manager, colleague, student or community member.</w:t>
      </w:r>
    </w:p>
    <w:p w14:paraId="6A1920FC" w14:textId="77777777" w:rsidR="00DD0800" w:rsidRPr="005E2322" w:rsidRDefault="00DD0800" w:rsidP="00177683">
      <w:pPr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5E2322">
        <w:rPr>
          <w:rFonts w:eastAsiaTheme="minorHAnsi"/>
          <w:b/>
          <w:color w:val="000000" w:themeColor="text1"/>
          <w:sz w:val="20"/>
          <w:szCs w:val="20"/>
        </w:rPr>
        <w:t>The application should demonstrate the following:</w:t>
      </w:r>
    </w:p>
    <w:p w14:paraId="611341A8" w14:textId="4F85FD25" w:rsidR="00DD0800" w:rsidRPr="00F1071E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Improved student outcomes in English language and literacy.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(This could be improvements as substantiated by community member(s) or</w:t>
      </w:r>
      <w:r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evidenced through appropriate monitoring </w:t>
      </w:r>
      <w:r w:rsidR="000F59E7">
        <w:rPr>
          <w:rFonts w:eastAsiaTheme="minorHAnsi"/>
          <w:color w:val="000000" w:themeColor="text1"/>
          <w:sz w:val="20"/>
          <w:szCs w:val="20"/>
        </w:rPr>
        <w:t>tools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</w:rPr>
        <w:t>such as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the EAL/D Progress Map.</w:t>
      </w:r>
      <w:r>
        <w:rPr>
          <w:rFonts w:eastAsiaTheme="minorHAnsi"/>
          <w:color w:val="000000" w:themeColor="text1"/>
          <w:sz w:val="20"/>
          <w:szCs w:val="20"/>
        </w:rPr>
        <w:t>)</w:t>
      </w:r>
    </w:p>
    <w:p w14:paraId="3ACAA944" w14:textId="77777777" w:rsidR="00DD0800" w:rsidRPr="00D1305C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awareness, recognition and valuing of home language/dialect</w:t>
      </w:r>
      <w:r w:rsidRPr="00D1305C">
        <w:rPr>
          <w:rFonts w:eastAsiaTheme="minorHAnsi"/>
          <w:b/>
          <w:color w:val="000000" w:themeColor="text1"/>
          <w:position w:val="13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and culture.</w:t>
      </w:r>
    </w:p>
    <w:p w14:paraId="0BCC6A60" w14:textId="77777777" w:rsidR="00DD0800" w:rsidRPr="00F1071E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engagement with Aboriginal families and community to improve student outcomes</w:t>
      </w:r>
      <w:r>
        <w:rPr>
          <w:rFonts w:eastAsiaTheme="minorHAnsi"/>
          <w:b/>
          <w:color w:val="000000" w:themeColor="text1"/>
          <w:sz w:val="20"/>
          <w:szCs w:val="20"/>
        </w:rPr>
        <w:t>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292F4944" w14:textId="4813BA88" w:rsidR="0099467E" w:rsidRDefault="000F59E7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color w:val="000000" w:themeColor="text1"/>
          <w:sz w:val="20"/>
          <w:szCs w:val="20"/>
        </w:rPr>
        <w:t xml:space="preserve">Evidence 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 xml:space="preserve">of 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strong 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>rapport with Aboriginal students</w:t>
      </w:r>
      <w:r w:rsidR="00DD0800">
        <w:rPr>
          <w:rFonts w:eastAsiaTheme="minorHAnsi"/>
          <w:b/>
          <w:color w:val="000000" w:themeColor="text1"/>
          <w:sz w:val="20"/>
          <w:szCs w:val="20"/>
        </w:rPr>
        <w:t>.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</w:p>
    <w:p w14:paraId="3C19A218" w14:textId="026F3DD2" w:rsidR="00DD0800" w:rsidRPr="0099467E" w:rsidRDefault="0099467E" w:rsidP="00177683">
      <w:pPr>
        <w:adjustRightInd w:val="0"/>
        <w:spacing w:after="200" w:line="276" w:lineRule="auto"/>
        <w:rPr>
          <w:rFonts w:eastAsiaTheme="minorHAnsi"/>
          <w:color w:val="000000" w:themeColor="text1"/>
          <w:sz w:val="20"/>
          <w:szCs w:val="20"/>
        </w:rPr>
      </w:pPr>
      <w:r w:rsidRPr="0099467E">
        <w:rPr>
          <w:rFonts w:eastAsiaTheme="minorHAnsi"/>
          <w:color w:val="000000" w:themeColor="text1"/>
          <w:sz w:val="20"/>
          <w:szCs w:val="20"/>
        </w:rPr>
        <w:t xml:space="preserve">The total Award is $3000, and it will be presented at the </w:t>
      </w:r>
      <w:proofErr w:type="spellStart"/>
      <w:r w:rsidRPr="0099467E">
        <w:rPr>
          <w:rFonts w:eastAsiaTheme="minorHAnsi"/>
          <w:color w:val="000000" w:themeColor="text1"/>
          <w:sz w:val="20"/>
          <w:szCs w:val="20"/>
        </w:rPr>
        <w:t>Westralian</w:t>
      </w:r>
      <w:proofErr w:type="spellEnd"/>
      <w:r w:rsidRPr="0099467E">
        <w:rPr>
          <w:rFonts w:eastAsiaTheme="minorHAnsi"/>
          <w:color w:val="000000" w:themeColor="text1"/>
          <w:sz w:val="20"/>
          <w:szCs w:val="20"/>
        </w:rPr>
        <w:t xml:space="preserve"> Association of Teachers of English to Speakers of Other Languages (WATESOL) AGM in </w:t>
      </w:r>
      <w:r w:rsidR="00895B0C">
        <w:rPr>
          <w:rFonts w:eastAsiaTheme="minorHAnsi"/>
          <w:color w:val="000000" w:themeColor="text1"/>
          <w:sz w:val="20"/>
          <w:szCs w:val="20"/>
        </w:rPr>
        <w:t>Novem</w:t>
      </w:r>
      <w:r w:rsidRPr="0099467E">
        <w:rPr>
          <w:rFonts w:eastAsiaTheme="minorHAnsi"/>
          <w:color w:val="000000" w:themeColor="text1"/>
          <w:sz w:val="20"/>
          <w:szCs w:val="20"/>
        </w:rPr>
        <w:t>ber 202</w:t>
      </w:r>
      <w:r w:rsidR="00513670">
        <w:rPr>
          <w:rFonts w:eastAsiaTheme="minorHAnsi"/>
          <w:color w:val="000000" w:themeColor="text1"/>
          <w:sz w:val="20"/>
          <w:szCs w:val="20"/>
        </w:rPr>
        <w:t>2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.  We invite applications from </w:t>
      </w:r>
      <w:r w:rsidR="006301DE">
        <w:rPr>
          <w:rFonts w:eastAsiaTheme="minorHAnsi"/>
          <w:color w:val="000000" w:themeColor="text1"/>
          <w:sz w:val="20"/>
          <w:szCs w:val="20"/>
        </w:rPr>
        <w:t xml:space="preserve">both 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Aboriginal </w:t>
      </w:r>
      <w:r w:rsidR="00AB23F4">
        <w:rPr>
          <w:rFonts w:eastAsiaTheme="minorHAnsi"/>
          <w:color w:val="000000" w:themeColor="text1"/>
          <w:sz w:val="20"/>
          <w:szCs w:val="20"/>
        </w:rPr>
        <w:t>and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non-Aboriginal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4C7D22">
        <w:rPr>
          <w:rFonts w:eastAsiaTheme="minorHAnsi"/>
          <w:color w:val="000000" w:themeColor="text1"/>
          <w:sz w:val="20"/>
          <w:szCs w:val="20"/>
        </w:rPr>
        <w:t xml:space="preserve">teachers, </w:t>
      </w:r>
      <w:r w:rsidRPr="0099467E">
        <w:rPr>
          <w:rFonts w:eastAsiaTheme="minorHAnsi"/>
          <w:color w:val="000000" w:themeColor="text1"/>
          <w:sz w:val="20"/>
          <w:szCs w:val="20"/>
        </w:rPr>
        <w:t>and other Aboriginal Educators</w:t>
      </w:r>
      <w:r w:rsidR="004C7D22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B23F4">
        <w:rPr>
          <w:rFonts w:eastAsiaTheme="minorHAnsi"/>
          <w:color w:val="000000" w:themeColor="text1"/>
          <w:sz w:val="20"/>
          <w:szCs w:val="20"/>
        </w:rPr>
        <w:t>including Education Officers, Education Workers</w:t>
      </w:r>
      <w:r w:rsidR="00063020">
        <w:rPr>
          <w:rFonts w:eastAsiaTheme="minorHAnsi"/>
          <w:color w:val="000000" w:themeColor="text1"/>
          <w:sz w:val="20"/>
          <w:szCs w:val="20"/>
        </w:rPr>
        <w:t>,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 and/or Liaison Officers. 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The award 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is open to </w:t>
      </w:r>
      <w:r w:rsidR="008D088A">
        <w:rPr>
          <w:rFonts w:eastAsiaTheme="minorHAnsi"/>
          <w:color w:val="000000" w:themeColor="text1"/>
          <w:sz w:val="20"/>
          <w:szCs w:val="20"/>
        </w:rPr>
        <w:t xml:space="preserve">colleagues who make a </w:t>
      </w:r>
      <w:r w:rsidRPr="0099467E">
        <w:rPr>
          <w:rFonts w:eastAsiaTheme="minorHAnsi"/>
          <w:color w:val="000000" w:themeColor="text1"/>
          <w:sz w:val="20"/>
          <w:szCs w:val="20"/>
        </w:rPr>
        <w:t>joint application</w:t>
      </w:r>
      <w:r w:rsidR="008D088A">
        <w:rPr>
          <w:rFonts w:eastAsiaTheme="minorHAnsi"/>
          <w:color w:val="000000" w:themeColor="text1"/>
          <w:sz w:val="20"/>
          <w:szCs w:val="20"/>
        </w:rPr>
        <w:t>,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or </w:t>
      </w:r>
      <w:r w:rsidR="008D088A">
        <w:rPr>
          <w:rFonts w:eastAsiaTheme="minorHAnsi"/>
          <w:color w:val="000000" w:themeColor="text1"/>
          <w:sz w:val="20"/>
          <w:szCs w:val="20"/>
        </w:rPr>
        <w:t>to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B23F4">
        <w:rPr>
          <w:rFonts w:eastAsiaTheme="minorHAnsi"/>
          <w:color w:val="000000" w:themeColor="text1"/>
          <w:sz w:val="20"/>
          <w:szCs w:val="20"/>
        </w:rPr>
        <w:t>individual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applica</w:t>
      </w:r>
      <w:r w:rsidR="006E7C7C">
        <w:rPr>
          <w:rFonts w:eastAsiaTheme="minorHAnsi"/>
          <w:color w:val="000000" w:themeColor="text1"/>
          <w:sz w:val="20"/>
          <w:szCs w:val="20"/>
        </w:rPr>
        <w:t>nt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s.  </w:t>
      </w:r>
      <w:r w:rsidR="00063020">
        <w:rPr>
          <w:rFonts w:eastAsiaTheme="minorHAnsi"/>
          <w:color w:val="000000" w:themeColor="text1"/>
          <w:sz w:val="20"/>
          <w:szCs w:val="20"/>
        </w:rPr>
        <w:t>A</w:t>
      </w:r>
      <w:r w:rsidR="00B07891">
        <w:rPr>
          <w:rFonts w:eastAsiaTheme="minorHAnsi"/>
          <w:color w:val="000000" w:themeColor="text1"/>
          <w:sz w:val="20"/>
          <w:szCs w:val="20"/>
        </w:rPr>
        <w:t>pplications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will be judged on </w:t>
      </w:r>
      <w:r w:rsidR="00063020">
        <w:rPr>
          <w:rFonts w:eastAsiaTheme="minorHAnsi"/>
          <w:color w:val="000000" w:themeColor="text1"/>
          <w:sz w:val="20"/>
          <w:szCs w:val="20"/>
        </w:rPr>
        <w:t>merit, based on t</w:t>
      </w:r>
      <w:r w:rsidRPr="0099467E">
        <w:rPr>
          <w:rFonts w:eastAsiaTheme="minorHAnsi"/>
          <w:color w:val="000000" w:themeColor="text1"/>
          <w:sz w:val="20"/>
          <w:szCs w:val="20"/>
        </w:rPr>
        <w:t>he criteria of the</w:t>
      </w:r>
      <w:r w:rsidR="00B07891">
        <w:rPr>
          <w:rFonts w:eastAsiaTheme="minorHAnsi"/>
          <w:color w:val="000000" w:themeColor="text1"/>
          <w:sz w:val="20"/>
          <w:szCs w:val="20"/>
        </w:rPr>
        <w:t xml:space="preserve"> applicant’s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role in the classroom.</w:t>
      </w:r>
    </w:p>
    <w:p w14:paraId="0B6ACDD2" w14:textId="5F4803EB" w:rsidR="00F136D5" w:rsidRDefault="00F136D5" w:rsidP="00177683">
      <w:pPr>
        <w:adjustRightInd w:val="0"/>
        <w:spacing w:after="200" w:line="276" w:lineRule="auto"/>
        <w:rPr>
          <w:rFonts w:eastAsiaTheme="minorHAnsi"/>
          <w:color w:val="000000" w:themeColor="text1"/>
          <w:sz w:val="20"/>
          <w:szCs w:val="20"/>
        </w:rPr>
      </w:pPr>
      <w:r w:rsidRPr="00A817EF">
        <w:rPr>
          <w:rFonts w:eastAsiaTheme="minorHAnsi"/>
          <w:bCs/>
          <w:color w:val="000000" w:themeColor="text1"/>
          <w:sz w:val="20"/>
          <w:szCs w:val="20"/>
        </w:rPr>
        <w:t>The award,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sponsored by the Lindsay Cozens Trust, is</w:t>
      </w:r>
      <w:r w:rsidR="00C54807">
        <w:rPr>
          <w:rFonts w:eastAsiaTheme="minorHAnsi"/>
          <w:color w:val="000000" w:themeColor="text1"/>
          <w:sz w:val="20"/>
          <w:szCs w:val="20"/>
        </w:rPr>
        <w:t xml:space="preserve"> also </w:t>
      </w:r>
      <w:r>
        <w:rPr>
          <w:rFonts w:eastAsiaTheme="minorHAnsi"/>
          <w:color w:val="000000" w:themeColor="text1"/>
          <w:sz w:val="20"/>
          <w:szCs w:val="20"/>
        </w:rPr>
        <w:t xml:space="preserve">designed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to extend the knowledge and </w:t>
      </w:r>
      <w:r>
        <w:rPr>
          <w:rFonts w:eastAsiaTheme="minorHAnsi"/>
          <w:color w:val="000000" w:themeColor="text1"/>
          <w:sz w:val="20"/>
          <w:szCs w:val="20"/>
        </w:rPr>
        <w:t>skills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817EF">
        <w:rPr>
          <w:rFonts w:eastAsiaTheme="minorHAnsi"/>
          <w:color w:val="000000" w:themeColor="text1"/>
          <w:sz w:val="20"/>
          <w:szCs w:val="20"/>
        </w:rPr>
        <w:t>of the recipients i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n teaching English to Aboriginal students. </w:t>
      </w:r>
      <w:r w:rsidR="0099467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2B0330" w:rsidRPr="002B0330">
        <w:rPr>
          <w:rFonts w:eastAsiaTheme="minorHAnsi"/>
          <w:b/>
          <w:bCs/>
          <w:color w:val="000000" w:themeColor="text1"/>
          <w:sz w:val="20"/>
          <w:szCs w:val="20"/>
        </w:rPr>
        <w:t>F</w:t>
      </w:r>
      <w:r w:rsidR="002B0330">
        <w:rPr>
          <w:rFonts w:eastAsiaTheme="minorHAnsi"/>
          <w:b/>
          <w:color w:val="000000" w:themeColor="text1"/>
          <w:sz w:val="20"/>
          <w:szCs w:val="20"/>
        </w:rPr>
        <w:t>or the benefit of other educators,</w:t>
      </w:r>
      <w:r w:rsidR="002B0330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99467E">
        <w:rPr>
          <w:rFonts w:eastAsiaTheme="minorHAnsi"/>
          <w:color w:val="000000" w:themeColor="text1"/>
          <w:sz w:val="20"/>
          <w:szCs w:val="20"/>
        </w:rPr>
        <w:t>it is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E83A94">
        <w:rPr>
          <w:rFonts w:eastAsiaTheme="minorHAnsi"/>
          <w:color w:val="000000" w:themeColor="text1"/>
          <w:sz w:val="20"/>
          <w:szCs w:val="20"/>
        </w:rPr>
        <w:t>anticipa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ted that </w:t>
      </w:r>
      <w:r w:rsidR="0099467E" w:rsidRPr="00D1305C">
        <w:rPr>
          <w:rFonts w:eastAsiaTheme="minorHAnsi"/>
          <w:b/>
          <w:color w:val="000000" w:themeColor="text1"/>
          <w:sz w:val="20"/>
          <w:szCs w:val="20"/>
        </w:rPr>
        <w:t>the winner</w:t>
      </w:r>
      <w:r w:rsidR="0099467E">
        <w:rPr>
          <w:rFonts w:eastAsiaTheme="minorHAnsi"/>
          <w:b/>
          <w:color w:val="000000" w:themeColor="text1"/>
          <w:sz w:val="20"/>
          <w:szCs w:val="20"/>
        </w:rPr>
        <w:t>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6E7C7C">
        <w:rPr>
          <w:rFonts w:eastAsiaTheme="minorHAnsi"/>
          <w:color w:val="000000" w:themeColor="text1"/>
          <w:sz w:val="20"/>
          <w:szCs w:val="20"/>
        </w:rPr>
        <w:t xml:space="preserve">will 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utilise part of the award money to </w:t>
      </w:r>
      <w:r w:rsidR="0099467E">
        <w:rPr>
          <w:rFonts w:eastAsiaTheme="minorHAnsi"/>
          <w:b/>
          <w:color w:val="000000" w:themeColor="text1"/>
          <w:sz w:val="20"/>
          <w:szCs w:val="20"/>
        </w:rPr>
        <w:t>share</w:t>
      </w:r>
      <w:r w:rsidR="0099467E" w:rsidRPr="00D1305C">
        <w:rPr>
          <w:rFonts w:eastAsiaTheme="minorHAnsi"/>
          <w:b/>
          <w:color w:val="000000" w:themeColor="text1"/>
          <w:sz w:val="20"/>
          <w:szCs w:val="20"/>
        </w:rPr>
        <w:t xml:space="preserve"> their exemplary practice and its effect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. Mentoring </w:t>
      </w:r>
      <w:r w:rsidR="0099467E">
        <w:rPr>
          <w:rFonts w:eastAsiaTheme="minorHAnsi"/>
          <w:color w:val="000000" w:themeColor="text1"/>
          <w:sz w:val="20"/>
          <w:szCs w:val="20"/>
        </w:rPr>
        <w:t>for achieving this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is available through KMA committee members.</w:t>
      </w:r>
      <w:r w:rsidR="002B0330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Award winner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>s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627B10">
        <w:rPr>
          <w:rFonts w:eastAsiaTheme="minorHAnsi"/>
          <w:b/>
          <w:color w:val="000000" w:themeColor="text1"/>
          <w:sz w:val="20"/>
          <w:szCs w:val="20"/>
        </w:rPr>
        <w:t xml:space="preserve">are also expected to 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>construct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a brief </w:t>
      </w:r>
      <w:r w:rsidR="007A63CF">
        <w:rPr>
          <w:rFonts w:eastAsiaTheme="minorHAnsi"/>
          <w:b/>
          <w:color w:val="000000" w:themeColor="text1"/>
          <w:sz w:val="20"/>
          <w:szCs w:val="20"/>
        </w:rPr>
        <w:t>report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, indicating how they used the prize money to extend their skills and experience, </w:t>
      </w:r>
      <w:r w:rsidRPr="00E878F8">
        <w:rPr>
          <w:rFonts w:eastAsiaTheme="minorHAnsi"/>
          <w:color w:val="000000" w:themeColor="text1"/>
          <w:sz w:val="20"/>
          <w:szCs w:val="20"/>
        </w:rPr>
        <w:t>to the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Kate Mullin Association (KMA), for </w:t>
      </w:r>
      <w:r w:rsidRPr="00E878F8">
        <w:rPr>
          <w:rFonts w:eastAsiaTheme="minorHAnsi"/>
          <w:b/>
          <w:color w:val="000000" w:themeColor="text1"/>
          <w:sz w:val="20"/>
          <w:szCs w:val="20"/>
        </w:rPr>
        <w:t>publication on the KMA website</w:t>
      </w:r>
      <w:r w:rsidRPr="00F1071E">
        <w:rPr>
          <w:rFonts w:eastAsiaTheme="minorHAnsi"/>
          <w:color w:val="000000" w:themeColor="text1"/>
          <w:sz w:val="20"/>
          <w:szCs w:val="20"/>
        </w:rPr>
        <w:t>.</w:t>
      </w:r>
    </w:p>
    <w:p w14:paraId="4D97B02F" w14:textId="23C6FC27" w:rsidR="00F136D5" w:rsidRPr="00B60CA3" w:rsidRDefault="002B0330" w:rsidP="00177683">
      <w:pPr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color w:val="000000" w:themeColor="text1"/>
          <w:sz w:val="20"/>
          <w:szCs w:val="20"/>
        </w:rPr>
        <w:t>A</w:t>
      </w:r>
      <w:r w:rsidR="00F136D5" w:rsidRPr="00E57501">
        <w:rPr>
          <w:rFonts w:eastAsiaTheme="minorHAnsi"/>
          <w:b/>
          <w:color w:val="000000" w:themeColor="text1"/>
          <w:sz w:val="20"/>
          <w:szCs w:val="20"/>
        </w:rPr>
        <w:t>pplication</w:t>
      </w:r>
      <w:r>
        <w:rPr>
          <w:rFonts w:eastAsiaTheme="minorHAnsi"/>
          <w:b/>
          <w:color w:val="000000" w:themeColor="text1"/>
          <w:sz w:val="20"/>
          <w:szCs w:val="20"/>
        </w:rPr>
        <w:t>s</w:t>
      </w:r>
      <w:r w:rsidR="00F136D5" w:rsidRPr="00E57501">
        <w:rPr>
          <w:rFonts w:eastAsiaTheme="minorHAnsi"/>
          <w:b/>
          <w:color w:val="000000" w:themeColor="text1"/>
          <w:sz w:val="20"/>
          <w:szCs w:val="20"/>
        </w:rPr>
        <w:t xml:space="preserve"> should be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 xml:space="preserve">no more than two pages </w:t>
      </w:r>
      <w:r w:rsidR="00F136D5" w:rsidRPr="00B60CA3">
        <w:rPr>
          <w:rFonts w:eastAsiaTheme="minorHAnsi"/>
          <w:color w:val="000000" w:themeColor="text1"/>
          <w:sz w:val="20"/>
          <w:szCs w:val="20"/>
        </w:rPr>
        <w:t>l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ong and </w:t>
      </w:r>
      <w:r w:rsidR="00F136D5" w:rsidRPr="009B2537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F136D5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>include supporting evidence as appendices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 (additional to the application). Evidence could includ</w:t>
      </w:r>
      <w:r w:rsidR="00F136D5">
        <w:rPr>
          <w:rFonts w:eastAsiaTheme="minorHAnsi"/>
          <w:color w:val="000000" w:themeColor="text1"/>
          <w:sz w:val="20"/>
          <w:szCs w:val="20"/>
        </w:rPr>
        <w:t>e student work samples, referee reports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, emails, letters, etc.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 xml:space="preserve">Applications must include at least one referee statement from an Aboriginal </w:t>
      </w:r>
      <w:r w:rsidR="00B07891">
        <w:rPr>
          <w:rFonts w:eastAsiaTheme="minorHAnsi"/>
          <w:b/>
          <w:color w:val="000000" w:themeColor="text1"/>
          <w:sz w:val="20"/>
          <w:szCs w:val="20"/>
        </w:rPr>
        <w:t xml:space="preserve">person, who may be an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>educator or community member.</w:t>
      </w:r>
    </w:p>
    <w:p w14:paraId="02D16359" w14:textId="4390D8A4" w:rsidR="00F136D5" w:rsidRDefault="00F136D5" w:rsidP="00177683">
      <w:pPr>
        <w:tabs>
          <w:tab w:val="left" w:pos="220"/>
        </w:tabs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 w:rsidRPr="00FB5C37">
        <w:rPr>
          <w:rFonts w:eastAsiaTheme="minorHAnsi"/>
          <w:b/>
          <w:color w:val="000000" w:themeColor="text1"/>
          <w:sz w:val="20"/>
          <w:szCs w:val="20"/>
        </w:rPr>
        <w:t>The application form can be downloaded from the website:</w:t>
      </w:r>
      <w:r w:rsidRPr="00FB5C37">
        <w:rPr>
          <w:rFonts w:eastAsiaTheme="minorHAnsi"/>
          <w:color w:val="000000" w:themeColor="text1"/>
          <w:sz w:val="20"/>
          <w:szCs w:val="20"/>
        </w:rPr>
        <w:t xml:space="preserve"> </w:t>
      </w:r>
      <w:hyperlink r:id="rId6" w:history="1">
        <w:r w:rsidR="009E41EE" w:rsidRPr="00D1305C">
          <w:rPr>
            <w:rStyle w:val="Hyperlink"/>
            <w:rFonts w:eastAsiaTheme="minorHAnsi"/>
            <w:sz w:val="20"/>
            <w:szCs w:val="20"/>
          </w:rPr>
          <w:t>http://katemullinassociation.org/teacher-award/</w:t>
        </w:r>
      </w:hyperlink>
      <w:r w:rsidR="009E41EE">
        <w:rPr>
          <w:rFonts w:eastAsiaTheme="minorHAnsi"/>
          <w:b/>
          <w:color w:val="000000" w:themeColor="text1"/>
          <w:sz w:val="20"/>
          <w:szCs w:val="20"/>
        </w:rPr>
        <w:t xml:space="preserve">; all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award submissions must be emailed to </w:t>
      </w:r>
      <w:hyperlink r:id="rId7" w:history="1">
        <w:r w:rsidR="00DD0800" w:rsidRPr="009E41EE">
          <w:rPr>
            <w:rStyle w:val="Hyperlink"/>
            <w:rFonts w:eastAsiaTheme="minorHAnsi"/>
            <w:b/>
            <w:sz w:val="20"/>
            <w:szCs w:val="20"/>
          </w:rPr>
          <w:t>kmasecretary@iinet.net.au</w:t>
        </w:r>
      </w:hyperlink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 xml:space="preserve">,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Kate Mullin Associat</w:t>
      </w:r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>ion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DD0800" w:rsidRPr="009E41EE">
        <w:rPr>
          <w:rFonts w:eastAsiaTheme="minorHAnsi"/>
          <w:b/>
          <w:color w:val="000000" w:themeColor="text1"/>
          <w:sz w:val="20"/>
          <w:szCs w:val="20"/>
        </w:rPr>
        <w:t xml:space="preserve">by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5.00 pm on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Thursday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20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October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, 20</w:t>
      </w:r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>2</w:t>
      </w:r>
      <w:r w:rsidR="003F043F">
        <w:rPr>
          <w:rFonts w:eastAsiaTheme="minorHAnsi"/>
          <w:b/>
          <w:color w:val="000000" w:themeColor="text1"/>
          <w:sz w:val="20"/>
          <w:szCs w:val="20"/>
        </w:rPr>
        <w:t>2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.</w:t>
      </w:r>
      <w:r w:rsidR="00DD0800"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9E41EE">
        <w:rPr>
          <w:rFonts w:eastAsiaTheme="minorHAnsi"/>
          <w:color w:val="000000" w:themeColor="text1"/>
          <w:sz w:val="20"/>
          <w:szCs w:val="20"/>
        </w:rPr>
        <w:t>For advice and further information regarding award submissions, please contact</w:t>
      </w:r>
      <w:r w:rsidR="00A817EF" w:rsidRPr="009E41E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B5C37" w:rsidRPr="009E41EE">
        <w:rPr>
          <w:rFonts w:eastAsiaTheme="minorHAnsi"/>
          <w:b/>
          <w:color w:val="000000" w:themeColor="text1"/>
          <w:sz w:val="20"/>
          <w:szCs w:val="20"/>
        </w:rPr>
        <w:t xml:space="preserve">Award Coordinator Bev Burnside at </w:t>
      </w:r>
      <w:hyperlink r:id="rId8" w:history="1">
        <w:r w:rsidR="006E7C7C" w:rsidRPr="00E86CC3">
          <w:rPr>
            <w:rStyle w:val="Hyperlink"/>
            <w:rFonts w:eastAsiaTheme="minorHAnsi"/>
            <w:b/>
            <w:sz w:val="20"/>
            <w:szCs w:val="20"/>
          </w:rPr>
          <w:t>burnside.bev@gmail.com</w:t>
        </w:r>
      </w:hyperlink>
      <w:r w:rsidR="00FB5C37" w:rsidRPr="009E41EE">
        <w:rPr>
          <w:rFonts w:eastAsiaTheme="minorHAnsi"/>
          <w:b/>
          <w:color w:val="000000" w:themeColor="text1"/>
          <w:sz w:val="20"/>
          <w:szCs w:val="20"/>
        </w:rPr>
        <w:t>.</w:t>
      </w:r>
    </w:p>
    <w:p w14:paraId="737826BC" w14:textId="77777777" w:rsidR="008B42F5" w:rsidRPr="008B42F5" w:rsidRDefault="008B42F5" w:rsidP="00A817EF">
      <w:pPr>
        <w:numPr>
          <w:ilvl w:val="1"/>
          <w:numId w:val="1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</w:p>
    <w:p w14:paraId="43BD7C3A" w14:textId="46B045F2" w:rsidR="0091714A" w:rsidRPr="00A817EF" w:rsidRDefault="00F136D5" w:rsidP="00A817EF">
      <w:pPr>
        <w:numPr>
          <w:ilvl w:val="1"/>
          <w:numId w:val="1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  <w:r w:rsidRPr="005F6B64">
        <w:rPr>
          <w:rFonts w:eastAsiaTheme="minorHAnsi"/>
          <w:color w:val="FFFFFF" w:themeColor="background1"/>
          <w:sz w:val="20"/>
          <w:szCs w:val="20"/>
          <w:vertAlign w:val="superscript"/>
        </w:rPr>
        <w:t>1.</w:t>
      </w:r>
      <w:r w:rsidRPr="005F6B64">
        <w:rPr>
          <w:rFonts w:eastAsiaTheme="minorHAnsi"/>
          <w:color w:val="FFFFFF" w:themeColor="background1"/>
          <w:sz w:val="20"/>
          <w:szCs w:val="20"/>
        </w:rPr>
        <w:t xml:space="preserve"> Including all those who work on improving </w:t>
      </w:r>
      <w:r w:rsidR="00A817EF">
        <w:rPr>
          <w:rFonts w:eastAsiaTheme="minorHAnsi"/>
          <w:color w:val="FFFFFF" w:themeColor="background1"/>
          <w:sz w:val="20"/>
          <w:szCs w:val="20"/>
        </w:rPr>
        <w:t xml:space="preserve">SAE </w:t>
      </w:r>
      <w:r w:rsidRPr="005F6B64">
        <w:rPr>
          <w:rFonts w:eastAsiaTheme="minorHAnsi"/>
          <w:color w:val="FFFFFF" w:themeColor="background1"/>
          <w:sz w:val="20"/>
          <w:szCs w:val="20"/>
        </w:rPr>
        <w:t>literacy outcomes for Aboriginal students: Aboriginal and non-Aboriginal teachers, Aboriginal and Islander Education Officers, Aboriginal Teaching Assistants and Aboriginal Education Workers</w:t>
      </w:r>
      <w:r w:rsidRPr="005F6B64">
        <w:rPr>
          <w:rFonts w:ascii="Calibri" w:eastAsiaTheme="minorHAnsi"/>
          <w:color w:val="FFFFFF" w:themeColor="background1"/>
          <w:sz w:val="18"/>
          <w:szCs w:val="20"/>
        </w:rPr>
        <w:t>.</w:t>
      </w:r>
    </w:p>
    <w:sectPr w:rsidR="0091714A" w:rsidRPr="00A817EF" w:rsidSect="00F136D5">
      <w:pgSz w:w="11910" w:h="16840"/>
      <w:pgMar w:top="158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52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3210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D5"/>
    <w:rsid w:val="00000390"/>
    <w:rsid w:val="0001684B"/>
    <w:rsid w:val="00063020"/>
    <w:rsid w:val="0006344A"/>
    <w:rsid w:val="000F59E7"/>
    <w:rsid w:val="00177683"/>
    <w:rsid w:val="001C2C99"/>
    <w:rsid w:val="001D0E44"/>
    <w:rsid w:val="00206D3A"/>
    <w:rsid w:val="00227C59"/>
    <w:rsid w:val="002B0330"/>
    <w:rsid w:val="00367E73"/>
    <w:rsid w:val="003F043F"/>
    <w:rsid w:val="003F08B1"/>
    <w:rsid w:val="00427C12"/>
    <w:rsid w:val="004C7D22"/>
    <w:rsid w:val="00513670"/>
    <w:rsid w:val="00575482"/>
    <w:rsid w:val="00627B10"/>
    <w:rsid w:val="006301DE"/>
    <w:rsid w:val="006E7C7C"/>
    <w:rsid w:val="00704259"/>
    <w:rsid w:val="00727F37"/>
    <w:rsid w:val="007802FC"/>
    <w:rsid w:val="007A63CF"/>
    <w:rsid w:val="00826581"/>
    <w:rsid w:val="0082727F"/>
    <w:rsid w:val="0083059F"/>
    <w:rsid w:val="00895B0C"/>
    <w:rsid w:val="008B42F5"/>
    <w:rsid w:val="008B48C4"/>
    <w:rsid w:val="008D088A"/>
    <w:rsid w:val="0091714A"/>
    <w:rsid w:val="00922910"/>
    <w:rsid w:val="0099467E"/>
    <w:rsid w:val="009A3F0E"/>
    <w:rsid w:val="009E41EE"/>
    <w:rsid w:val="00A817EF"/>
    <w:rsid w:val="00A8710E"/>
    <w:rsid w:val="00AA65D6"/>
    <w:rsid w:val="00AB23F4"/>
    <w:rsid w:val="00B07891"/>
    <w:rsid w:val="00B13FD0"/>
    <w:rsid w:val="00BC773E"/>
    <w:rsid w:val="00C54807"/>
    <w:rsid w:val="00DB6E14"/>
    <w:rsid w:val="00DD0800"/>
    <w:rsid w:val="00E83A94"/>
    <w:rsid w:val="00EF49F6"/>
    <w:rsid w:val="00F136D5"/>
    <w:rsid w:val="00F524B9"/>
    <w:rsid w:val="00FB5C37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0CAE"/>
  <w15:chartTrackingRefBased/>
  <w15:docId w15:val="{7B8BFF90-35F0-3942-95F5-769CDB5A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6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36D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36D5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136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nside.be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secretary@iinet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emullinassociation.org/teacher-award/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Sabatier</dc:creator>
  <cp:keywords/>
  <dc:description/>
  <cp:lastModifiedBy>Reception</cp:lastModifiedBy>
  <cp:revision>2</cp:revision>
  <dcterms:created xsi:type="dcterms:W3CDTF">2022-06-07T07:49:00Z</dcterms:created>
  <dcterms:modified xsi:type="dcterms:W3CDTF">2022-06-07T07:49:00Z</dcterms:modified>
</cp:coreProperties>
</file>