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3B46" w14:textId="77777777" w:rsidR="00815895" w:rsidRPr="00815895" w:rsidRDefault="00815895" w:rsidP="00815895">
      <w:pPr>
        <w:jc w:val="center"/>
        <w:rPr>
          <w:rFonts w:cs="Arial"/>
          <w:b/>
          <w:szCs w:val="20"/>
        </w:rPr>
      </w:pPr>
      <w:r w:rsidRPr="00815895">
        <w:rPr>
          <w:rFonts w:cs="Arial"/>
          <w:b/>
          <w:szCs w:val="20"/>
        </w:rPr>
        <w:t>Australian</w:t>
      </w:r>
      <w:r w:rsidR="002026BD">
        <w:rPr>
          <w:rFonts w:cs="Arial"/>
          <w:b/>
          <w:szCs w:val="20"/>
        </w:rPr>
        <w:t xml:space="preserve"> </w:t>
      </w:r>
      <w:r w:rsidRPr="00815895">
        <w:rPr>
          <w:rFonts w:cs="Arial"/>
          <w:b/>
          <w:szCs w:val="20"/>
        </w:rPr>
        <w:t>Research</w:t>
      </w:r>
      <w:r w:rsidR="002026BD">
        <w:rPr>
          <w:rFonts w:cs="Arial"/>
          <w:b/>
          <w:szCs w:val="20"/>
        </w:rPr>
        <w:t xml:space="preserve"> </w:t>
      </w:r>
      <w:r w:rsidRPr="00815895">
        <w:rPr>
          <w:rFonts w:cs="Arial"/>
          <w:b/>
          <w:szCs w:val="20"/>
        </w:rPr>
        <w:t>Council</w:t>
      </w:r>
      <w:r w:rsidR="002026BD">
        <w:rPr>
          <w:rFonts w:cs="Arial"/>
          <w:b/>
          <w:szCs w:val="20"/>
        </w:rPr>
        <w:t xml:space="preserve"> </w:t>
      </w:r>
      <w:r w:rsidRPr="00815895">
        <w:rPr>
          <w:rFonts w:cs="Arial"/>
          <w:b/>
          <w:szCs w:val="20"/>
        </w:rPr>
        <w:t>Linkage</w:t>
      </w:r>
      <w:r w:rsidR="002026BD">
        <w:rPr>
          <w:rFonts w:cs="Arial"/>
          <w:b/>
          <w:szCs w:val="20"/>
        </w:rPr>
        <w:t xml:space="preserve"> </w:t>
      </w:r>
      <w:r w:rsidRPr="00815895">
        <w:rPr>
          <w:rFonts w:cs="Arial"/>
          <w:b/>
          <w:szCs w:val="20"/>
        </w:rPr>
        <w:t>Project</w:t>
      </w:r>
      <w:r w:rsidR="002026BD">
        <w:rPr>
          <w:rFonts w:cs="Arial"/>
          <w:b/>
          <w:szCs w:val="20"/>
        </w:rPr>
        <w:t xml:space="preserve"> </w:t>
      </w:r>
      <w:r w:rsidRPr="00815895">
        <w:rPr>
          <w:rFonts w:cs="Arial"/>
          <w:b/>
          <w:szCs w:val="20"/>
        </w:rPr>
        <w:t>(LP180100046)</w:t>
      </w:r>
      <w:r w:rsidR="002026BD">
        <w:rPr>
          <w:rFonts w:cs="Arial"/>
          <w:b/>
          <w:szCs w:val="20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Improving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teacher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assessment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capability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using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scaled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annotated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exemplars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of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achievement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standards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in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iCs/>
          <w:szCs w:val="20"/>
          <w:lang w:val="en-GB"/>
        </w:rPr>
        <w:t>online</w:t>
      </w:r>
      <w:r w:rsidR="002026BD">
        <w:rPr>
          <w:rFonts w:cs="Arial"/>
          <w:b/>
          <w:i/>
          <w:iCs/>
          <w:szCs w:val="20"/>
          <w:lang w:val="en-GB"/>
        </w:rPr>
        <w:t xml:space="preserve"> </w:t>
      </w:r>
      <w:r w:rsidRPr="00815895">
        <w:rPr>
          <w:rFonts w:cs="Arial"/>
          <w:b/>
          <w:i/>
          <w:szCs w:val="20"/>
          <w:lang w:val="en-GB"/>
        </w:rPr>
        <w:t>moderation</w:t>
      </w:r>
    </w:p>
    <w:p w14:paraId="12D7B676" w14:textId="77777777" w:rsidR="00C6079E" w:rsidRPr="00C6079E" w:rsidRDefault="00C6079E" w:rsidP="00C6079E">
      <w:pPr>
        <w:pStyle w:val="xxmsonormal"/>
        <w:spacing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6079E">
        <w:rPr>
          <w:rFonts w:ascii="Arial" w:hAnsi="Arial" w:cs="Arial"/>
          <w:color w:val="000000"/>
          <w:sz w:val="20"/>
          <w:szCs w:val="20"/>
        </w:rPr>
        <w:t>Our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project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aims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to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support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teachers’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assessment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practices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comparability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judgements.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internationally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renowned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research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team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includes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Professor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Claire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Wyatt-Smith,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Professor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Michele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Haynes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Associate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Professor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Lenore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Adie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(Australian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Catholic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University),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Professor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David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Andrich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Associate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Professor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Stephen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Humphry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(University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Western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Australia),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Associate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Professor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Chris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DeLuca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(Queen’s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University,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Canada),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along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with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Queensland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Department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Education,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Western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Australian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School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Curriculum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Standards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Authority,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Catholic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Education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Western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Australia.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</w:p>
    <w:p w14:paraId="787F9206" w14:textId="77777777" w:rsidR="00C6079E" w:rsidRPr="00C6079E" w:rsidRDefault="00C6079E" w:rsidP="00C6079E">
      <w:pPr>
        <w:pStyle w:val="xxmsonormal"/>
        <w:spacing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6079E">
        <w:rPr>
          <w:rFonts w:ascii="Arial" w:hAnsi="Arial" w:cs="Arial"/>
          <w:color w:val="000000"/>
          <w:sz w:val="20"/>
          <w:szCs w:val="20"/>
        </w:rPr>
        <w:t>Partnering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with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over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350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teachers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across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Queensland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and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Western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Australia,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aim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project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to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develop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online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platform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consisting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exemplars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student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work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with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related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commentaries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that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explain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how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different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features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the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performances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were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taken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into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account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in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the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overall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judgement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decision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to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assist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consistency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in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teacher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judgement.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all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are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undertaken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online,</w:t>
      </w:r>
      <w:r w:rsidR="002026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C6079E">
        <w:rPr>
          <w:rFonts w:ascii="Arial" w:hAnsi="Arial" w:cs="Arial"/>
          <w:color w:val="000000"/>
          <w:sz w:val="20"/>
          <w:szCs w:val="20"/>
        </w:rPr>
        <w:t>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project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can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engage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with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geographically-distributed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schools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teachers.</w:t>
      </w:r>
    </w:p>
    <w:p w14:paraId="5111E31E" w14:textId="77777777" w:rsidR="00C6079E" w:rsidRPr="00C6079E" w:rsidRDefault="00C6079E" w:rsidP="00C6079E">
      <w:pPr>
        <w:pStyle w:val="xxmsonormal"/>
        <w:spacing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project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received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funding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2019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will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conclude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2022.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42E851" w14:textId="77777777" w:rsidR="00C6079E" w:rsidRPr="00C6079E" w:rsidRDefault="00C6079E" w:rsidP="00C6079E">
      <w:pPr>
        <w:pStyle w:val="xxmsonormal"/>
        <w:spacing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6079E">
        <w:rPr>
          <w:rFonts w:ascii="Arial" w:hAnsi="Arial" w:cs="Arial"/>
          <w:color w:val="000000"/>
          <w:sz w:val="20"/>
          <w:szCs w:val="20"/>
        </w:rPr>
        <w:t>Teacher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participation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offers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unique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professional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learning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opportunity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to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enhance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understanding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A-E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judgements.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Teachers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will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also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benefit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from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opportunity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to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develop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their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skills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constructing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commentaries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their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judgement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decisions.</w:t>
      </w:r>
      <w:r w:rsidR="002026B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Upon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completion,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teachers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will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receive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statement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outlining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activities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and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number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hours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of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participation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project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which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may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be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used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continuing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professional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development.</w:t>
      </w:r>
    </w:p>
    <w:p w14:paraId="3FD72CEA" w14:textId="77777777" w:rsidR="0050629E" w:rsidRPr="00C6079E" w:rsidRDefault="00815895" w:rsidP="00C6079E">
      <w:pPr>
        <w:pStyle w:val="xxmsonormal"/>
        <w:spacing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6079E">
        <w:rPr>
          <w:rFonts w:ascii="Arial" w:hAnsi="Arial" w:cs="Arial"/>
          <w:color w:val="000000"/>
          <w:sz w:val="20"/>
          <w:szCs w:val="20"/>
        </w:rPr>
        <w:t>The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project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to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be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implemented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5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stages;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teachers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may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choose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to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participate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in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stages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throughout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2020-2022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at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their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discretion.</w:t>
      </w:r>
    </w:p>
    <w:p w14:paraId="3CE2DD68" w14:textId="77777777" w:rsidR="00815895" w:rsidRPr="00C6079E" w:rsidRDefault="00815895" w:rsidP="00C6079E">
      <w:pPr>
        <w:pStyle w:val="xxmsonormal"/>
        <w:spacing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6079E">
        <w:rPr>
          <w:rFonts w:ascii="Arial" w:hAnsi="Arial" w:cs="Arial"/>
          <w:color w:val="000000"/>
          <w:sz w:val="20"/>
          <w:szCs w:val="20"/>
        </w:rPr>
        <w:t>Approximate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time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requirements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per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stage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are</w:t>
      </w:r>
      <w:r w:rsidR="00202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079E">
        <w:rPr>
          <w:rFonts w:ascii="Arial" w:hAnsi="Arial" w:cs="Arial"/>
          <w:color w:val="000000"/>
          <w:sz w:val="20"/>
          <w:szCs w:val="20"/>
        </w:rPr>
        <w:t>below:</w:t>
      </w:r>
    </w:p>
    <w:p w14:paraId="6654B4CC" w14:textId="77777777" w:rsidR="00F10F3C" w:rsidRDefault="00F10F3C" w:rsidP="00F10F3C">
      <w:pPr>
        <w:rPr>
          <w:rFonts w:cs="Arial"/>
          <w:szCs w:val="20"/>
        </w:rPr>
      </w:pPr>
    </w:p>
    <w:tbl>
      <w:tblPr>
        <w:tblStyle w:val="TableGrid1"/>
        <w:tblW w:w="4894" w:type="pct"/>
        <w:tblInd w:w="250" w:type="dxa"/>
        <w:tblLook w:val="04A0" w:firstRow="1" w:lastRow="0" w:firstColumn="1" w:lastColumn="0" w:noHBand="0" w:noVBand="1"/>
      </w:tblPr>
      <w:tblGrid>
        <w:gridCol w:w="739"/>
        <w:gridCol w:w="1557"/>
        <w:gridCol w:w="6986"/>
        <w:gridCol w:w="952"/>
      </w:tblGrid>
      <w:tr w:rsidR="00F10F3C" w:rsidRPr="00F10F3C" w14:paraId="1992F7E6" w14:textId="77777777" w:rsidTr="00C6079E">
        <w:tc>
          <w:tcPr>
            <w:tcW w:w="361" w:type="pct"/>
          </w:tcPr>
          <w:p w14:paraId="5AA8E407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Stage</w:t>
            </w:r>
          </w:p>
        </w:tc>
        <w:tc>
          <w:tcPr>
            <w:tcW w:w="761" w:type="pct"/>
          </w:tcPr>
          <w:p w14:paraId="1C40CC4B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Timeframe</w:t>
            </w:r>
          </w:p>
        </w:tc>
        <w:tc>
          <w:tcPr>
            <w:tcW w:w="3413" w:type="pct"/>
          </w:tcPr>
          <w:p w14:paraId="7CEA145C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What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teachers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are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asked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do</w:t>
            </w:r>
          </w:p>
        </w:tc>
        <w:tc>
          <w:tcPr>
            <w:tcW w:w="465" w:type="pct"/>
          </w:tcPr>
          <w:p w14:paraId="3B1C19B0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Hours/</w:t>
            </w:r>
          </w:p>
          <w:p w14:paraId="40124FFA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teacher</w:t>
            </w:r>
          </w:p>
        </w:tc>
      </w:tr>
      <w:tr w:rsidR="00F10F3C" w:rsidRPr="00F10F3C" w14:paraId="353ADB80" w14:textId="77777777" w:rsidTr="00C6079E">
        <w:tc>
          <w:tcPr>
            <w:tcW w:w="361" w:type="pct"/>
          </w:tcPr>
          <w:p w14:paraId="363CF05F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1</w:t>
            </w:r>
          </w:p>
        </w:tc>
        <w:tc>
          <w:tcPr>
            <w:tcW w:w="761" w:type="pct"/>
          </w:tcPr>
          <w:p w14:paraId="5ADE40BB" w14:textId="77777777" w:rsidR="00F10F3C" w:rsidRDefault="00F10F3C" w:rsidP="00F10F3C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Anytime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</w:p>
          <w:p w14:paraId="1B662612" w14:textId="77777777" w:rsidR="00F10F3C" w:rsidRPr="00F10F3C" w:rsidRDefault="00F10F3C" w:rsidP="00F10F3C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Term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3,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2020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–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Term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3,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2021</w:t>
            </w:r>
          </w:p>
        </w:tc>
        <w:tc>
          <w:tcPr>
            <w:tcW w:w="3413" w:type="pct"/>
          </w:tcPr>
          <w:p w14:paraId="38CF35BD" w14:textId="77777777" w:rsidR="00F10F3C" w:rsidRPr="00F10F3C" w:rsidRDefault="00F10F3C" w:rsidP="00D65DA2">
            <w:pPr>
              <w:pStyle w:val="NoSpacing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Locate,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de-identify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forward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existing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graded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student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assessment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tasks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(completed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2018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–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2020)</w:t>
            </w:r>
          </w:p>
        </w:tc>
        <w:tc>
          <w:tcPr>
            <w:tcW w:w="465" w:type="pct"/>
          </w:tcPr>
          <w:p w14:paraId="004D6C28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minimal</w:t>
            </w:r>
          </w:p>
        </w:tc>
      </w:tr>
      <w:tr w:rsidR="00F10F3C" w:rsidRPr="00F10F3C" w14:paraId="369C12A4" w14:textId="77777777" w:rsidTr="00C6079E">
        <w:tc>
          <w:tcPr>
            <w:tcW w:w="361" w:type="pct"/>
          </w:tcPr>
          <w:p w14:paraId="2E039458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2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</w:p>
        </w:tc>
        <w:tc>
          <w:tcPr>
            <w:tcW w:w="761" w:type="pct"/>
          </w:tcPr>
          <w:p w14:paraId="5A5EC9D6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Anytime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</w:p>
          <w:p w14:paraId="0171F6BB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Term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4,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2020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–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Term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4,</w:t>
            </w:r>
            <w:r w:rsidR="002026BD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2021</w:t>
            </w:r>
          </w:p>
        </w:tc>
        <w:tc>
          <w:tcPr>
            <w:tcW w:w="3413" w:type="pct"/>
          </w:tcPr>
          <w:p w14:paraId="0C130B33" w14:textId="77777777" w:rsidR="00F10F3C" w:rsidRPr="00F10F3C" w:rsidRDefault="00F10F3C" w:rsidP="00D65DA2">
            <w:pPr>
              <w:pStyle w:val="NoSpacing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Participate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pairwise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comparison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student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work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for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your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year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level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discipline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by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comparing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approx.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40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pairs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student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performances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online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making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judgement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regarding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which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each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pair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higher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standard.</w:t>
            </w:r>
          </w:p>
        </w:tc>
        <w:tc>
          <w:tcPr>
            <w:tcW w:w="465" w:type="pct"/>
          </w:tcPr>
          <w:p w14:paraId="51A15DE6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5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hr</w:t>
            </w:r>
          </w:p>
        </w:tc>
      </w:tr>
      <w:tr w:rsidR="00F10F3C" w:rsidRPr="00F10F3C" w14:paraId="5C401802" w14:textId="77777777" w:rsidTr="00C6079E">
        <w:tc>
          <w:tcPr>
            <w:tcW w:w="361" w:type="pct"/>
          </w:tcPr>
          <w:p w14:paraId="1C83E3B7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3</w:t>
            </w:r>
          </w:p>
        </w:tc>
        <w:tc>
          <w:tcPr>
            <w:tcW w:w="761" w:type="pct"/>
          </w:tcPr>
          <w:p w14:paraId="0AC3978F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2021</w:t>
            </w:r>
          </w:p>
        </w:tc>
        <w:tc>
          <w:tcPr>
            <w:tcW w:w="3413" w:type="pct"/>
          </w:tcPr>
          <w:p w14:paraId="0C9A05A5" w14:textId="77777777" w:rsidR="00F10F3C" w:rsidRPr="00F10F3C" w:rsidRDefault="00F10F3C" w:rsidP="00D65DA2">
            <w:pPr>
              <w:pStyle w:val="NoSpacing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Judge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subset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10-15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performances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from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Stage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2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modified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pairwise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comparison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method,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this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case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comparing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work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sample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against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standard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descriptor.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</w:p>
        </w:tc>
        <w:tc>
          <w:tcPr>
            <w:tcW w:w="465" w:type="pct"/>
          </w:tcPr>
          <w:p w14:paraId="0BD7435E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5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hr</w:t>
            </w:r>
          </w:p>
        </w:tc>
      </w:tr>
      <w:tr w:rsidR="00F10F3C" w:rsidRPr="00F10F3C" w14:paraId="237F9AE4" w14:textId="77777777" w:rsidTr="00C6079E">
        <w:tc>
          <w:tcPr>
            <w:tcW w:w="361" w:type="pct"/>
          </w:tcPr>
          <w:p w14:paraId="21E5DAAC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4</w:t>
            </w:r>
            <w:r w:rsidR="0022403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</w:t>
            </w:r>
          </w:p>
        </w:tc>
        <w:tc>
          <w:tcPr>
            <w:tcW w:w="761" w:type="pct"/>
          </w:tcPr>
          <w:p w14:paraId="0A02B914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2021</w:t>
            </w:r>
          </w:p>
        </w:tc>
        <w:tc>
          <w:tcPr>
            <w:tcW w:w="3413" w:type="pct"/>
          </w:tcPr>
          <w:p w14:paraId="2582D769" w14:textId="77777777" w:rsidR="00F10F3C" w:rsidRPr="00F10F3C" w:rsidRDefault="00F10F3C" w:rsidP="00D65DA2">
            <w:pPr>
              <w:pStyle w:val="NoSpacing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Write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2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-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3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cognitive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commentaries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for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selected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work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samples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that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describe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how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overall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judgement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was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made,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taking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into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account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stronger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weaker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aspects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response.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instructional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podcast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how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this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will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be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supplied.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Teachers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participate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online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meeting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with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other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year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level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discipline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teachers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who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have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also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written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cognitive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commentaries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discuss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refine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these.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These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meetings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will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be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audio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recorded.</w:t>
            </w:r>
          </w:p>
        </w:tc>
        <w:tc>
          <w:tcPr>
            <w:tcW w:w="465" w:type="pct"/>
          </w:tcPr>
          <w:p w14:paraId="278E91E4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9.5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hr</w:t>
            </w:r>
          </w:p>
        </w:tc>
      </w:tr>
      <w:tr w:rsidR="00F10F3C" w:rsidRPr="00F10F3C" w14:paraId="2320DA85" w14:textId="77777777" w:rsidTr="00C6079E">
        <w:tc>
          <w:tcPr>
            <w:tcW w:w="361" w:type="pct"/>
          </w:tcPr>
          <w:p w14:paraId="7165E61B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4</w:t>
            </w:r>
            <w:r w:rsidR="00224035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b</w:t>
            </w:r>
          </w:p>
        </w:tc>
        <w:tc>
          <w:tcPr>
            <w:tcW w:w="761" w:type="pct"/>
          </w:tcPr>
          <w:p w14:paraId="6D398C5F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2021</w:t>
            </w:r>
          </w:p>
        </w:tc>
        <w:tc>
          <w:tcPr>
            <w:tcW w:w="3413" w:type="pct"/>
          </w:tcPr>
          <w:p w14:paraId="53CB0E5F" w14:textId="77777777" w:rsidR="00F10F3C" w:rsidRPr="00F10F3C" w:rsidRDefault="00F10F3C" w:rsidP="00D65DA2">
            <w:pPr>
              <w:pStyle w:val="NoSpacing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Participate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online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interview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regarding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how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judgement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decisions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were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arrived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process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writing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cognitive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commentaries.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interview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will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be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conducted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via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online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video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conference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platform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will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be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audio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recorded.</w:t>
            </w:r>
          </w:p>
        </w:tc>
        <w:tc>
          <w:tcPr>
            <w:tcW w:w="465" w:type="pct"/>
          </w:tcPr>
          <w:p w14:paraId="2FF34813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0.5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hr</w:t>
            </w:r>
          </w:p>
        </w:tc>
      </w:tr>
      <w:tr w:rsidR="00F10F3C" w:rsidRPr="00F10F3C" w14:paraId="155B3630" w14:textId="77777777" w:rsidTr="00C6079E">
        <w:tc>
          <w:tcPr>
            <w:tcW w:w="361" w:type="pct"/>
          </w:tcPr>
          <w:p w14:paraId="3E6BDD15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5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</w:p>
        </w:tc>
        <w:tc>
          <w:tcPr>
            <w:tcW w:w="761" w:type="pct"/>
          </w:tcPr>
          <w:p w14:paraId="4B0D5462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th-TH"/>
              </w:rPr>
              <w:t>2022</w:t>
            </w:r>
          </w:p>
        </w:tc>
        <w:tc>
          <w:tcPr>
            <w:tcW w:w="3413" w:type="pct"/>
          </w:tcPr>
          <w:p w14:paraId="596B00B4" w14:textId="77777777" w:rsidR="00F10F3C" w:rsidRPr="00F10F3C" w:rsidRDefault="00F10F3C" w:rsidP="00D65DA2">
            <w:pPr>
              <w:pStyle w:val="NoSpacing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Moderate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examples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of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graded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student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work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that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have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been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uploaded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online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platform.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Teachers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will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use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the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exemplars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with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associated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cognitive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commentaries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from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Stages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3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4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to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confirm/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recommend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adjusted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grades.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</w:p>
        </w:tc>
        <w:tc>
          <w:tcPr>
            <w:tcW w:w="465" w:type="pct"/>
          </w:tcPr>
          <w:p w14:paraId="7906CFB4" w14:textId="77777777" w:rsidR="00F10F3C" w:rsidRPr="00F10F3C" w:rsidRDefault="00F10F3C" w:rsidP="00D65DA2">
            <w:pPr>
              <w:pStyle w:val="NoSpacing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5</w:t>
            </w:r>
            <w:r w:rsidR="002026BD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 xml:space="preserve"> </w:t>
            </w:r>
            <w:r w:rsidRPr="00F10F3C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th-TH"/>
              </w:rPr>
              <w:t>hr</w:t>
            </w:r>
          </w:p>
        </w:tc>
      </w:tr>
    </w:tbl>
    <w:p w14:paraId="673A8469" w14:textId="77777777" w:rsidR="00F10F3C" w:rsidRDefault="00F10F3C" w:rsidP="00F10F3C">
      <w:pPr>
        <w:rPr>
          <w:rFonts w:cs="Arial"/>
          <w:szCs w:val="20"/>
        </w:rPr>
      </w:pPr>
    </w:p>
    <w:p w14:paraId="4AF69A18" w14:textId="77777777" w:rsidR="00F10F3C" w:rsidRPr="00C6079E" w:rsidRDefault="00F10F3C" w:rsidP="00C6079E">
      <w:pPr>
        <w:spacing w:after="0" w:line="240" w:lineRule="auto"/>
        <w:jc w:val="both"/>
        <w:rPr>
          <w:rFonts w:cstheme="minorHAnsi"/>
        </w:rPr>
      </w:pPr>
      <w:r>
        <w:rPr>
          <w:rFonts w:cs="Arial"/>
          <w:szCs w:val="20"/>
        </w:rPr>
        <w:t>Questions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may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directed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to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Chief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Investigator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Assoc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Prof.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Lenore</w:t>
      </w:r>
      <w:r w:rsidR="002026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Adie</w:t>
      </w:r>
      <w:r w:rsidR="002026BD">
        <w:rPr>
          <w:rFonts w:cs="Arial"/>
          <w:szCs w:val="20"/>
        </w:rPr>
        <w:t xml:space="preserve"> </w:t>
      </w:r>
      <w:hyperlink r:id="rId4" w:history="1">
        <w:r w:rsidRPr="006A7859">
          <w:rPr>
            <w:rStyle w:val="Hyperlink"/>
            <w:rFonts w:cs="Arial"/>
            <w:szCs w:val="20"/>
          </w:rPr>
          <w:t>lenore.adie@acu.edu.au</w:t>
        </w:r>
      </w:hyperlink>
      <w:r w:rsidR="002026BD">
        <w:rPr>
          <w:rFonts w:cs="Arial"/>
          <w:szCs w:val="20"/>
        </w:rPr>
        <w:t xml:space="preserve"> </w:t>
      </w:r>
      <w:r>
        <w:rPr>
          <w:rFonts w:cstheme="minorHAnsi"/>
        </w:rPr>
        <w:t>(07)</w:t>
      </w:r>
      <w:r w:rsidR="002026BD">
        <w:rPr>
          <w:rFonts w:cstheme="minorHAnsi"/>
        </w:rPr>
        <w:t xml:space="preserve"> </w:t>
      </w:r>
      <w:r>
        <w:rPr>
          <w:rFonts w:cstheme="minorHAnsi"/>
        </w:rPr>
        <w:t>3623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7333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or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our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Project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Manager,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Jo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Macri,</w:t>
      </w:r>
      <w:r w:rsidR="002026BD">
        <w:rPr>
          <w:rFonts w:cstheme="minorHAnsi"/>
        </w:rPr>
        <w:t xml:space="preserve"> </w:t>
      </w:r>
      <w:hyperlink r:id="rId5" w:history="1">
        <w:r w:rsidR="002026BD" w:rsidRPr="00E46FF6">
          <w:rPr>
            <w:rStyle w:val="Hyperlink"/>
            <w:rFonts w:cstheme="minorHAnsi"/>
          </w:rPr>
          <w:t>jo.macri@acu.edu.au</w:t>
        </w:r>
      </w:hyperlink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(07)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3861</w:t>
      </w:r>
      <w:r w:rsidR="002026BD">
        <w:rPr>
          <w:rFonts w:cstheme="minorHAnsi"/>
        </w:rPr>
        <w:t xml:space="preserve"> </w:t>
      </w:r>
      <w:r w:rsidRPr="002071DD">
        <w:rPr>
          <w:rFonts w:cstheme="minorHAnsi"/>
        </w:rPr>
        <w:t>6370</w:t>
      </w:r>
      <w:r>
        <w:rPr>
          <w:rFonts w:cstheme="minorHAnsi"/>
        </w:rPr>
        <w:t>.</w:t>
      </w:r>
      <w:r w:rsidR="002026BD">
        <w:rPr>
          <w:rFonts w:cstheme="minorHAnsi"/>
        </w:rPr>
        <w:t xml:space="preserve"> </w:t>
      </w:r>
    </w:p>
    <w:sectPr w:rsidR="00F10F3C" w:rsidRPr="00C6079E" w:rsidSect="00C60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C"/>
    <w:rsid w:val="000408D2"/>
    <w:rsid w:val="000A5958"/>
    <w:rsid w:val="000B6C99"/>
    <w:rsid w:val="00106242"/>
    <w:rsid w:val="001F421A"/>
    <w:rsid w:val="001F524D"/>
    <w:rsid w:val="00201893"/>
    <w:rsid w:val="002026BD"/>
    <w:rsid w:val="002032F2"/>
    <w:rsid w:val="00224035"/>
    <w:rsid w:val="002D4AF8"/>
    <w:rsid w:val="002F39C3"/>
    <w:rsid w:val="0047640D"/>
    <w:rsid w:val="004A2B74"/>
    <w:rsid w:val="0050629E"/>
    <w:rsid w:val="0056253C"/>
    <w:rsid w:val="00575BF0"/>
    <w:rsid w:val="005B1AB8"/>
    <w:rsid w:val="005F3FBD"/>
    <w:rsid w:val="0073671F"/>
    <w:rsid w:val="008014A9"/>
    <w:rsid w:val="008061DC"/>
    <w:rsid w:val="00815895"/>
    <w:rsid w:val="00872A79"/>
    <w:rsid w:val="008C2FC6"/>
    <w:rsid w:val="00957E36"/>
    <w:rsid w:val="00A161FC"/>
    <w:rsid w:val="00A56CA0"/>
    <w:rsid w:val="00A97C5E"/>
    <w:rsid w:val="00C6079E"/>
    <w:rsid w:val="00D062F9"/>
    <w:rsid w:val="00DD4F71"/>
    <w:rsid w:val="00EA7C92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DE3A"/>
  <w15:docId w15:val="{403F1BBD-9285-4CF1-8280-84885DAC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F10F3C"/>
    <w:pPr>
      <w:spacing w:after="120" w:line="240" w:lineRule="atLeast"/>
    </w:pPr>
    <w:rPr>
      <w:rFonts w:ascii="Arial" w:eastAsia="Times New Roman" w:hAnsi="Arial" w:cs="Angsana New"/>
      <w:sz w:val="20"/>
      <w:szCs w:val="22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10F3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rsid w:val="00F10F3C"/>
    <w:rPr>
      <w:rFonts w:asciiTheme="minorHAnsi" w:eastAsiaTheme="minorEastAsia" w:hAnsiTheme="minorHAnsi" w:cstheme="minorBidi"/>
      <w:sz w:val="22"/>
      <w:szCs w:val="22"/>
      <w:lang w:eastAsia="en-AU"/>
    </w:rPr>
  </w:style>
  <w:style w:type="table" w:customStyle="1" w:styleId="TableGrid1">
    <w:name w:val="Table Grid1"/>
    <w:basedOn w:val="TableNormal"/>
    <w:uiPriority w:val="59"/>
    <w:locked/>
    <w:rsid w:val="00F10F3C"/>
    <w:pPr>
      <w:spacing w:line="240" w:lineRule="auto"/>
    </w:pPr>
    <w:rPr>
      <w:rFonts w:ascii="Georgia" w:hAnsi="Georgia" w:cstheme="minorBidi"/>
      <w:color w:val="3D3935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F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3C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3C"/>
    <w:rPr>
      <w:rFonts w:ascii="Arial" w:eastAsia="Times New Roman" w:hAnsi="Arial" w:cs="Angsana New"/>
      <w:sz w:val="20"/>
      <w:szCs w:val="25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3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3C"/>
    <w:rPr>
      <w:rFonts w:ascii="Tahoma" w:eastAsia="Times New Roman" w:hAnsi="Tahoma" w:cs="Angsana New"/>
      <w:sz w:val="16"/>
      <w:szCs w:val="20"/>
      <w:lang w:eastAsia="zh-CN" w:bidi="th-TH"/>
    </w:rPr>
  </w:style>
  <w:style w:type="paragraph" w:customStyle="1" w:styleId="xxmsonormal">
    <w:name w:val="xxmsonormal"/>
    <w:basedOn w:val="Normal"/>
    <w:rsid w:val="00C607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C6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.macri@acu.edu.au" TargetMode="External"/><Relationship Id="rId4" Type="http://schemas.openxmlformats.org/officeDocument/2006/relationships/hyperlink" Target="mailto:lenore.adie@a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jomacri</dc:creator>
  <cp:lastModifiedBy>Reception</cp:lastModifiedBy>
  <cp:revision>2</cp:revision>
  <dcterms:created xsi:type="dcterms:W3CDTF">2020-09-14T05:11:00Z</dcterms:created>
  <dcterms:modified xsi:type="dcterms:W3CDTF">2020-09-14T05:11:00Z</dcterms:modified>
</cp:coreProperties>
</file>